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АДМИНИСТРАЦИЯ  БОЛЬШЕУЛУЙСКОГО  СЕЛЬСОВЕТА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БОЛЬШЕУЛУЙСКОГО РАЙОНА КРАСНОЯРСКОГО КРАЯ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proofErr w:type="gramStart"/>
      <w:r w:rsidRPr="00C317A0">
        <w:rPr>
          <w:b/>
          <w:szCs w:val="28"/>
        </w:rPr>
        <w:t>П</w:t>
      </w:r>
      <w:proofErr w:type="gramEnd"/>
      <w:r w:rsidRPr="00C317A0">
        <w:rPr>
          <w:b/>
          <w:szCs w:val="28"/>
        </w:rPr>
        <w:t xml:space="preserve"> О С Т А Н О В Л Е Н И Е</w:t>
      </w:r>
    </w:p>
    <w:p w:rsidR="008554DE" w:rsidRPr="00C317A0" w:rsidRDefault="008554DE" w:rsidP="00C317A0">
      <w:pPr>
        <w:spacing w:line="276" w:lineRule="auto"/>
        <w:jc w:val="center"/>
        <w:rPr>
          <w:b/>
          <w:sz w:val="24"/>
          <w:szCs w:val="24"/>
        </w:rPr>
      </w:pPr>
    </w:p>
    <w:p w:rsidR="008554DE" w:rsidRPr="00C317A0" w:rsidRDefault="00BE382E" w:rsidP="00C317A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01.02.2017                     </w:t>
      </w:r>
      <w:r w:rsidR="00BB6931" w:rsidRPr="00C317A0">
        <w:rPr>
          <w:sz w:val="24"/>
          <w:szCs w:val="24"/>
        </w:rPr>
        <w:t xml:space="preserve">                  </w:t>
      </w:r>
      <w:r w:rsidR="008554DE" w:rsidRPr="00C317A0">
        <w:rPr>
          <w:sz w:val="24"/>
          <w:szCs w:val="24"/>
        </w:rPr>
        <w:t xml:space="preserve">с. Большой  Улуй </w:t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12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1B3" w:rsidRDefault="000100FA" w:rsidP="00C317A0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</w:p>
    <w:p w:rsidR="000100FA" w:rsidRDefault="000100FA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BA1C58">
        <w:rPr>
          <w:rFonts w:ascii="Times New Roman" w:hAnsi="Times New Roman" w:cs="Times New Roman"/>
          <w:b w:val="0"/>
          <w:bCs w:val="0"/>
          <w:sz w:val="24"/>
          <w:szCs w:val="24"/>
        </w:rPr>
        <w:t>140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 w:rsidR="00BA1C58">
        <w:rPr>
          <w:rFonts w:ascii="Times New Roman" w:hAnsi="Times New Roman" w:cs="Times New Roman"/>
          <w:b w:val="0"/>
          <w:bCs w:val="0"/>
          <w:sz w:val="24"/>
          <w:szCs w:val="24"/>
        </w:rPr>
        <w:t>07.10.2013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</w:p>
    <w:p w:rsidR="00BA1C58" w:rsidRDefault="000100FA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>Положения</w:t>
      </w:r>
      <w:r w:rsidR="00BA1C58"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оплате труда работников </w:t>
      </w:r>
    </w:p>
    <w:p w:rsidR="00BA1C58" w:rsidRPr="00BA1C58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Большеулуйского сельсовета, </w:t>
      </w:r>
    </w:p>
    <w:p w:rsidR="00BA1C58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</w:t>
      </w:r>
      <w:proofErr w:type="gramStart"/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>являющихся</w:t>
      </w:r>
      <w:proofErr w:type="gramEnd"/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лицами, замещающими </w:t>
      </w:r>
    </w:p>
    <w:p w:rsidR="00BA1C58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муниципальные должности и должности </w:t>
      </w:r>
    </w:p>
    <w:p w:rsidR="000100FA" w:rsidRPr="000100FA" w:rsidRDefault="00BA1C58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службы</w:t>
      </w:r>
      <w:r w:rsidR="000100F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0100FA" w:rsidRPr="00C317A0" w:rsidRDefault="000100FA" w:rsidP="00C317A0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87735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7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49387F" w:rsidRPr="00C317A0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C317A0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486A29" w:rsidRPr="00C317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</w:p>
    <w:p w:rsidR="008554DE" w:rsidRPr="000100FA" w:rsidRDefault="005C7444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обеспечения реализации</w:t>
      </w:r>
      <w:r w:rsidR="004130FD">
        <w:rPr>
          <w:rFonts w:ascii="Times New Roman" w:hAnsi="Times New Roman" w:cs="Times New Roman"/>
          <w:b w:val="0"/>
          <w:sz w:val="28"/>
          <w:szCs w:val="28"/>
        </w:rPr>
        <w:t xml:space="preserve"> подходов по совершенствовании</w:t>
      </w:r>
      <w:proofErr w:type="gramStart"/>
      <w:r w:rsidR="004130F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4130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130FD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4130FD">
        <w:rPr>
          <w:rFonts w:ascii="Times New Roman" w:hAnsi="Times New Roman" w:cs="Times New Roman"/>
          <w:b w:val="0"/>
          <w:sz w:val="28"/>
          <w:szCs w:val="28"/>
        </w:rPr>
        <w:t>истемы оплаты труда всех категорий работников</w:t>
      </w:r>
      <w:r w:rsidR="000100FA" w:rsidRPr="000100FA">
        <w:rPr>
          <w:rFonts w:ascii="Times New Roman" w:hAnsi="Times New Roman" w:cs="Times New Roman"/>
          <w:b w:val="0"/>
          <w:sz w:val="28"/>
          <w:szCs w:val="28"/>
        </w:rPr>
        <w:t>,</w:t>
      </w:r>
      <w:r w:rsidR="004130FD">
        <w:rPr>
          <w:rFonts w:ascii="Times New Roman" w:hAnsi="Times New Roman" w:cs="Times New Roman"/>
          <w:b w:val="0"/>
          <w:sz w:val="28"/>
          <w:szCs w:val="28"/>
        </w:rPr>
        <w:t xml:space="preserve"> одобренных на заседании рабочей группы по подготовке предложений по совершенствованию системы оплаты труда работников бюдж</w:t>
      </w:r>
      <w:r w:rsidR="00D543CF">
        <w:rPr>
          <w:rFonts w:ascii="Times New Roman" w:hAnsi="Times New Roman" w:cs="Times New Roman"/>
          <w:b w:val="0"/>
          <w:sz w:val="28"/>
          <w:szCs w:val="28"/>
        </w:rPr>
        <w:t>етной сферы Красноярского края</w:t>
      </w:r>
      <w:r w:rsidR="004130FD">
        <w:rPr>
          <w:rFonts w:ascii="Times New Roman" w:hAnsi="Times New Roman" w:cs="Times New Roman"/>
          <w:b w:val="0"/>
          <w:sz w:val="28"/>
          <w:szCs w:val="28"/>
        </w:rPr>
        <w:t>,</w:t>
      </w:r>
      <w:r w:rsidR="000100FA" w:rsidRPr="000100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54DE" w:rsidRPr="000100FA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0100FA">
        <w:rPr>
          <w:rFonts w:ascii="Times New Roman" w:hAnsi="Times New Roman" w:cs="Times New Roman"/>
          <w:b w:val="0"/>
          <w:sz w:val="28"/>
          <w:szCs w:val="28"/>
        </w:rPr>
        <w:t xml:space="preserve">подпунктом 10 пункта 1 </w:t>
      </w:r>
      <w:r w:rsidR="008554DE" w:rsidRPr="000100FA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BB6931" w:rsidRPr="000100FA">
        <w:rPr>
          <w:rFonts w:ascii="Times New Roman" w:hAnsi="Times New Roman" w:cs="Times New Roman"/>
          <w:b w:val="0"/>
          <w:sz w:val="28"/>
          <w:szCs w:val="28"/>
        </w:rPr>
        <w:t>и 26</w:t>
      </w:r>
      <w:r w:rsidR="00E65099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100FA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E65099">
        <w:rPr>
          <w:rFonts w:ascii="Times New Roman" w:hAnsi="Times New Roman" w:cs="Times New Roman"/>
          <w:b w:val="0"/>
          <w:sz w:val="28"/>
          <w:szCs w:val="28"/>
        </w:rPr>
        <w:t>ёй</w:t>
      </w:r>
      <w:r w:rsidR="00BB6931" w:rsidRPr="000100FA">
        <w:rPr>
          <w:rFonts w:ascii="Times New Roman" w:hAnsi="Times New Roman" w:cs="Times New Roman"/>
          <w:b w:val="0"/>
          <w:sz w:val="28"/>
          <w:szCs w:val="28"/>
        </w:rPr>
        <w:t xml:space="preserve"> 29</w:t>
      </w:r>
      <w:r w:rsidR="008554DE" w:rsidRPr="000100FA">
        <w:rPr>
          <w:rFonts w:ascii="Times New Roman" w:hAnsi="Times New Roman" w:cs="Times New Roman"/>
          <w:b w:val="0"/>
          <w:sz w:val="28"/>
          <w:szCs w:val="28"/>
        </w:rPr>
        <w:t xml:space="preserve"> Ус</w:t>
      </w:r>
      <w:r w:rsidR="00BB6931" w:rsidRPr="000100FA">
        <w:rPr>
          <w:rFonts w:ascii="Times New Roman" w:hAnsi="Times New Roman" w:cs="Times New Roman"/>
          <w:b w:val="0"/>
          <w:sz w:val="28"/>
          <w:szCs w:val="28"/>
        </w:rPr>
        <w:t>тава Большеулуйского сельсовета,</w:t>
      </w:r>
    </w:p>
    <w:p w:rsidR="00B87735" w:rsidRPr="000100FA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6931" w:rsidRDefault="00BB6931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100FA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Положение </w:t>
      </w:r>
      <w:r w:rsidR="00E65099" w:rsidRPr="00E65099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 администрации Большеулуйского сельсовета, не являющихся лицами, замещающими муниципальные должности и должности муниципальной службы</w:t>
      </w:r>
      <w:r w:rsidR="000100FA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постановлением администрации Большеулуйского сельсовета № </w:t>
      </w:r>
      <w:r w:rsidR="00E65099">
        <w:rPr>
          <w:rFonts w:ascii="Times New Roman" w:hAnsi="Times New Roman" w:cs="Times New Roman"/>
          <w:b w:val="0"/>
          <w:sz w:val="28"/>
          <w:szCs w:val="28"/>
        </w:rPr>
        <w:t>140</w:t>
      </w:r>
      <w:r w:rsidR="000100F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65099">
        <w:rPr>
          <w:rFonts w:ascii="Times New Roman" w:hAnsi="Times New Roman" w:cs="Times New Roman"/>
          <w:b w:val="0"/>
          <w:sz w:val="28"/>
          <w:szCs w:val="28"/>
        </w:rPr>
        <w:t>07.10.2013</w:t>
      </w:r>
      <w:r w:rsidR="000100FA"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Положение):</w:t>
      </w:r>
    </w:p>
    <w:p w:rsidR="000100FA" w:rsidRPr="00F8777B" w:rsidRDefault="000100FA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7B">
        <w:rPr>
          <w:rFonts w:ascii="Times New Roman" w:hAnsi="Times New Roman" w:cs="Times New Roman"/>
          <w:sz w:val="28"/>
          <w:szCs w:val="28"/>
        </w:rPr>
        <w:t xml:space="preserve">1.1. </w:t>
      </w:r>
      <w:r w:rsidR="00D543CF">
        <w:rPr>
          <w:rFonts w:ascii="Times New Roman" w:hAnsi="Times New Roman" w:cs="Times New Roman"/>
          <w:sz w:val="28"/>
          <w:szCs w:val="28"/>
        </w:rPr>
        <w:t>в пункте 2.2.</w:t>
      </w:r>
      <w:r w:rsidR="00F8777B" w:rsidRPr="00F8777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543CF">
        <w:rPr>
          <w:rFonts w:ascii="Times New Roman" w:hAnsi="Times New Roman" w:cs="Times New Roman"/>
          <w:b w:val="0"/>
          <w:sz w:val="28"/>
          <w:szCs w:val="28"/>
        </w:rPr>
        <w:t xml:space="preserve"> слово «администрации» исключить;</w:t>
      </w:r>
    </w:p>
    <w:p w:rsidR="00D543CF" w:rsidRPr="00F8777B" w:rsidRDefault="00D543CF" w:rsidP="00D543C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7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пункте 3.2.</w:t>
      </w:r>
      <w:r w:rsidRPr="00F8777B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слово «администрации» исключить;</w:t>
      </w:r>
    </w:p>
    <w:p w:rsidR="00D543CF" w:rsidRPr="00F8777B" w:rsidRDefault="00D543CF" w:rsidP="00D543C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77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пункте 4.9. </w:t>
      </w:r>
      <w:r w:rsidRPr="00F8777B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F8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слово «администрации» исключить;</w:t>
      </w:r>
    </w:p>
    <w:p w:rsidR="00D543CF" w:rsidRPr="00F8777B" w:rsidRDefault="00D543CF" w:rsidP="00D543C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77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абзаце третьем пункта 4.10 </w:t>
      </w:r>
      <w:r w:rsidRPr="00F8777B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слово «администрации» исключить;</w:t>
      </w:r>
    </w:p>
    <w:p w:rsidR="00D543CF" w:rsidRPr="00F8777B" w:rsidRDefault="00D543CF" w:rsidP="00D543C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77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пункте 4.13. </w:t>
      </w:r>
      <w:r w:rsidRPr="00F8777B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цифру «75%» заменить на «85%», цифру «25%» заменить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«до 15%»;</w:t>
      </w:r>
    </w:p>
    <w:p w:rsidR="00D543CF" w:rsidRDefault="00D543CF" w:rsidP="00D543C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77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877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пункт 4.17 </w:t>
      </w:r>
      <w:r w:rsidRPr="00F8777B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редакции</w:t>
      </w:r>
    </w:p>
    <w:p w:rsidR="00D543CF" w:rsidRDefault="00D543CF" w:rsidP="00D543C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«4.17 Общий объем выплат стимулирующего характера производится работнику в пределах фонда оплаты труда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.»;</w:t>
      </w:r>
      <w:proofErr w:type="gramEnd"/>
    </w:p>
    <w:p w:rsidR="00D543CF" w:rsidRDefault="00D543CF" w:rsidP="00D543C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77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7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пункте 5.2 </w:t>
      </w:r>
      <w:r w:rsidRPr="00F8777B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слово «администрации» исключить;</w:t>
      </w:r>
    </w:p>
    <w:p w:rsidR="00D543CF" w:rsidRDefault="00D543CF" w:rsidP="00D543C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77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77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пункте 5.4 </w:t>
      </w:r>
      <w:r w:rsidRPr="00F8777B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слово «администрации» исключить;</w:t>
      </w:r>
    </w:p>
    <w:p w:rsidR="00D543CF" w:rsidRDefault="00D543CF" w:rsidP="00D543C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3CF">
        <w:rPr>
          <w:rFonts w:ascii="Times New Roman" w:hAnsi="Times New Roman" w:cs="Times New Roman"/>
          <w:sz w:val="28"/>
          <w:szCs w:val="28"/>
        </w:rPr>
        <w:lastRenderedPageBreak/>
        <w:t>1.9. в приложение 1 к Положению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цифру «4392,0» изменить на «4831,0», цифру «3167,0» заменить на «3484,0», цифру «2231,0» заменить на «2454,0», цифру «2338,0» заменить на «2572,0», цифру «2597,0» заменить на «2857,0»;</w:t>
      </w:r>
    </w:p>
    <w:p w:rsidR="00D543CF" w:rsidRDefault="00D543CF" w:rsidP="00D543C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1D4">
        <w:rPr>
          <w:rFonts w:ascii="Times New Roman" w:hAnsi="Times New Roman" w:cs="Times New Roman"/>
          <w:sz w:val="28"/>
          <w:szCs w:val="28"/>
        </w:rPr>
        <w:t xml:space="preserve">1.10. </w:t>
      </w:r>
      <w:r w:rsidR="00641C1C" w:rsidRPr="003F01D4">
        <w:rPr>
          <w:rFonts w:ascii="Times New Roman" w:hAnsi="Times New Roman" w:cs="Times New Roman"/>
          <w:sz w:val="28"/>
          <w:szCs w:val="28"/>
        </w:rPr>
        <w:t>приложение 4 к Положению</w:t>
      </w:r>
      <w:r w:rsidR="00641C1C">
        <w:rPr>
          <w:rFonts w:ascii="Times New Roman" w:hAnsi="Times New Roman" w:cs="Times New Roman"/>
          <w:b w:val="0"/>
          <w:sz w:val="28"/>
          <w:szCs w:val="28"/>
        </w:rPr>
        <w:t xml:space="preserve"> дополнить разделом «</w:t>
      </w:r>
      <w:proofErr w:type="spellStart"/>
      <w:r w:rsidR="00641C1C">
        <w:rPr>
          <w:rFonts w:ascii="Times New Roman" w:hAnsi="Times New Roman" w:cs="Times New Roman"/>
          <w:b w:val="0"/>
          <w:sz w:val="28"/>
          <w:szCs w:val="28"/>
        </w:rPr>
        <w:t>Документовед</w:t>
      </w:r>
      <w:proofErr w:type="spellEnd"/>
      <w:r w:rsidR="00641C1C">
        <w:rPr>
          <w:rFonts w:ascii="Times New Roman" w:hAnsi="Times New Roman" w:cs="Times New Roman"/>
          <w:b w:val="0"/>
          <w:sz w:val="28"/>
          <w:szCs w:val="28"/>
        </w:rPr>
        <w:t>» следующего содержания:</w:t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985"/>
        <w:gridCol w:w="2551"/>
        <w:gridCol w:w="2693"/>
        <w:gridCol w:w="709"/>
      </w:tblGrid>
      <w:tr w:rsidR="00F96B45" w:rsidRPr="00F96B45" w:rsidTr="00F96B45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96B45">
              <w:rPr>
                <w:rFonts w:eastAsia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96B45" w:rsidRPr="00F96B45" w:rsidTr="00F96B45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архивными документами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Ведение архивного делопроизводства, подготовка номенклатуры дел, описей, актов передачи на хранение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замечаний со стороны руководства и районного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F96B45" w:rsidRPr="00F96B45" w:rsidTr="00F96B45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делопроизвод-ство</w:t>
            </w:r>
            <w:proofErr w:type="spellEnd"/>
            <w:proofErr w:type="gramEnd"/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96B45">
              <w:rPr>
                <w:rFonts w:eastAsia="Times New Roman"/>
                <w:sz w:val="24"/>
                <w:szCs w:val="24"/>
              </w:rPr>
              <w:t xml:space="preserve">Своевременная подготовка локальных нормативных актов учреждения </w:t>
            </w:r>
            <w:r>
              <w:rPr>
                <w:rFonts w:eastAsia="Times New Roman"/>
                <w:sz w:val="24"/>
                <w:szCs w:val="24"/>
              </w:rPr>
              <w:t>в пределах своей компетенции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6B45">
              <w:rPr>
                <w:rFonts w:eastAsia="Times New Roman"/>
                <w:sz w:val="24"/>
                <w:szCs w:val="24"/>
              </w:rPr>
              <w:t>Соответствие нормам действующего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F96B45" w:rsidRPr="00F96B45" w:rsidTr="00F96B45">
        <w:trPr>
          <w:cantSplit/>
          <w:trHeight w:val="474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6B45">
              <w:rPr>
                <w:rFonts w:eastAsia="Times New Roman"/>
                <w:sz w:val="24"/>
                <w:szCs w:val="24"/>
              </w:rPr>
              <w:t>Отсутствие замечаний от надзорных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96B45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F96B45" w:rsidRPr="00F96B45" w:rsidTr="00F96B45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6B45">
              <w:rPr>
                <w:rFonts w:eastAsia="Times New Roman"/>
                <w:sz w:val="24"/>
                <w:szCs w:val="24"/>
              </w:rPr>
              <w:t>Устранение замечаний в установленные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96B45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96B45" w:rsidRPr="00F96B45" w:rsidTr="00F96B45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 работы (копирование, верстка документов)</w:t>
            </w:r>
            <w:r w:rsidRPr="00F96B4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Своевременность  выполнения, отсутствие замечаний со стороны руководства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96B45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96B45" w:rsidRPr="00F96B45" w:rsidTr="00F96B45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96B45">
              <w:rPr>
                <w:rFonts w:eastAsia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F96B45" w:rsidRPr="00F96B45" w:rsidTr="00F96B45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96B45">
              <w:rPr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96B45">
              <w:rPr>
                <w:sz w:val="24"/>
                <w:szCs w:val="24"/>
              </w:rPr>
              <w:t>Оценивается по факту отсутствия замечаний и жалоб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6B45">
              <w:rPr>
                <w:sz w:val="24"/>
                <w:szCs w:val="24"/>
              </w:rPr>
              <w:t>0 замечаний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96B45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96B45" w:rsidRPr="00F96B45" w:rsidTr="00F96B45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96B45">
              <w:rPr>
                <w:rFonts w:eastAsia="Times New Roman"/>
                <w:color w:val="000000"/>
                <w:sz w:val="24"/>
                <w:szCs w:val="24"/>
              </w:rPr>
              <w:t xml:space="preserve">Оперативность выполнения профессиональной деятельности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F96B45">
              <w:rPr>
                <w:sz w:val="24"/>
                <w:szCs w:val="24"/>
              </w:rPr>
              <w:t>Оценивается по факту отсутствия замечаний и жалоб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B45" w:rsidRPr="00F96B45" w:rsidRDefault="00F96B45" w:rsidP="00F96B45">
            <w:pPr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F96B45">
              <w:rPr>
                <w:rFonts w:eastAsia="Times New Roman"/>
                <w:sz w:val="24"/>
                <w:szCs w:val="24"/>
              </w:rPr>
              <w:t>0 замечаний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B45" w:rsidRPr="00F96B45" w:rsidRDefault="00F96B45" w:rsidP="00F96B45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96B45"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641C1C" w:rsidRDefault="00641C1C" w:rsidP="00641C1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6931" w:rsidRPr="000100FA" w:rsidRDefault="00F8777B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B6931" w:rsidRPr="000100FA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в день, следующий за днём</w:t>
      </w:r>
      <w:r w:rsidR="00641C1C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</w:t>
      </w:r>
      <w:r w:rsidR="003F01D4">
        <w:rPr>
          <w:rFonts w:ascii="Times New Roman" w:hAnsi="Times New Roman" w:cs="Times New Roman"/>
          <w:b w:val="0"/>
          <w:sz w:val="28"/>
          <w:szCs w:val="28"/>
        </w:rPr>
        <w:t>,</w:t>
      </w:r>
      <w:r w:rsidR="00641C1C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 свое действие на правоотношения, возникшие с 01.01.2017 года.</w:t>
      </w: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0B4D" w:rsidRPr="000100FA" w:rsidRDefault="008554DE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Глава Большеулуйского сельсовета                                            И.Н. </w:t>
      </w:r>
      <w:proofErr w:type="spellStart"/>
      <w:r w:rsidRPr="000100FA"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sectPr w:rsidR="009C0B4D" w:rsidRPr="000100FA" w:rsidSect="00F8777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45" w:rsidRDefault="00F96B45">
      <w:r>
        <w:separator/>
      </w:r>
    </w:p>
  </w:endnote>
  <w:endnote w:type="continuationSeparator" w:id="0">
    <w:p w:rsidR="00F96B45" w:rsidRDefault="00F96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45" w:rsidRDefault="00F96B45">
      <w:r>
        <w:separator/>
      </w:r>
    </w:p>
  </w:footnote>
  <w:footnote w:type="continuationSeparator" w:id="0">
    <w:p w:rsidR="00F96B45" w:rsidRDefault="00F96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735"/>
    <w:rsid w:val="00000F9C"/>
    <w:rsid w:val="000100FA"/>
    <w:rsid w:val="00010872"/>
    <w:rsid w:val="00016614"/>
    <w:rsid w:val="000412D9"/>
    <w:rsid w:val="00086450"/>
    <w:rsid w:val="000A400D"/>
    <w:rsid w:val="000D7642"/>
    <w:rsid w:val="000E05AD"/>
    <w:rsid w:val="000E1691"/>
    <w:rsid w:val="000E33EF"/>
    <w:rsid w:val="00155A65"/>
    <w:rsid w:val="00182FAE"/>
    <w:rsid w:val="001A4BAA"/>
    <w:rsid w:val="001B3CCE"/>
    <w:rsid w:val="001B54E9"/>
    <w:rsid w:val="001B7CBB"/>
    <w:rsid w:val="00214B23"/>
    <w:rsid w:val="0022496E"/>
    <w:rsid w:val="00240105"/>
    <w:rsid w:val="002409E6"/>
    <w:rsid w:val="0024165E"/>
    <w:rsid w:val="00242E5E"/>
    <w:rsid w:val="00270DAC"/>
    <w:rsid w:val="002870E7"/>
    <w:rsid w:val="002908C4"/>
    <w:rsid w:val="002B1F2D"/>
    <w:rsid w:val="002B2CBD"/>
    <w:rsid w:val="002C1B11"/>
    <w:rsid w:val="002D51D2"/>
    <w:rsid w:val="002D686A"/>
    <w:rsid w:val="002D6BC0"/>
    <w:rsid w:val="00302300"/>
    <w:rsid w:val="003072B7"/>
    <w:rsid w:val="00310B48"/>
    <w:rsid w:val="00317CEF"/>
    <w:rsid w:val="003709F1"/>
    <w:rsid w:val="00371841"/>
    <w:rsid w:val="00381D9C"/>
    <w:rsid w:val="00397AEE"/>
    <w:rsid w:val="003A5715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329FE"/>
    <w:rsid w:val="00466DFF"/>
    <w:rsid w:val="00486A29"/>
    <w:rsid w:val="0049387F"/>
    <w:rsid w:val="0049454A"/>
    <w:rsid w:val="004A48E5"/>
    <w:rsid w:val="004A4E78"/>
    <w:rsid w:val="004E00FB"/>
    <w:rsid w:val="004E4A42"/>
    <w:rsid w:val="004E616A"/>
    <w:rsid w:val="004F7104"/>
    <w:rsid w:val="00504338"/>
    <w:rsid w:val="00504D77"/>
    <w:rsid w:val="0053286D"/>
    <w:rsid w:val="0057711D"/>
    <w:rsid w:val="005B493C"/>
    <w:rsid w:val="005C7444"/>
    <w:rsid w:val="005E0C01"/>
    <w:rsid w:val="00612C08"/>
    <w:rsid w:val="00641C1C"/>
    <w:rsid w:val="00645B60"/>
    <w:rsid w:val="006510FD"/>
    <w:rsid w:val="00655BC5"/>
    <w:rsid w:val="00664548"/>
    <w:rsid w:val="00684002"/>
    <w:rsid w:val="006C174A"/>
    <w:rsid w:val="006E4108"/>
    <w:rsid w:val="006E70F8"/>
    <w:rsid w:val="007041B3"/>
    <w:rsid w:val="00736E04"/>
    <w:rsid w:val="00747785"/>
    <w:rsid w:val="0075236C"/>
    <w:rsid w:val="00760FCB"/>
    <w:rsid w:val="00770160"/>
    <w:rsid w:val="007E6AE2"/>
    <w:rsid w:val="008031A2"/>
    <w:rsid w:val="00820A66"/>
    <w:rsid w:val="00835E28"/>
    <w:rsid w:val="00846CD0"/>
    <w:rsid w:val="00851ABE"/>
    <w:rsid w:val="008554DE"/>
    <w:rsid w:val="00866748"/>
    <w:rsid w:val="00883F0D"/>
    <w:rsid w:val="008B7054"/>
    <w:rsid w:val="008C4CB5"/>
    <w:rsid w:val="008C6DFF"/>
    <w:rsid w:val="00905F30"/>
    <w:rsid w:val="0093348A"/>
    <w:rsid w:val="0094008D"/>
    <w:rsid w:val="009B5298"/>
    <w:rsid w:val="009C0B4D"/>
    <w:rsid w:val="009C38EC"/>
    <w:rsid w:val="009D5233"/>
    <w:rsid w:val="009E2055"/>
    <w:rsid w:val="009E3F80"/>
    <w:rsid w:val="009E5E0E"/>
    <w:rsid w:val="00A01B25"/>
    <w:rsid w:val="00A60B73"/>
    <w:rsid w:val="00A7078E"/>
    <w:rsid w:val="00A711F5"/>
    <w:rsid w:val="00AA2C33"/>
    <w:rsid w:val="00AE71D1"/>
    <w:rsid w:val="00AF2EDC"/>
    <w:rsid w:val="00B208F9"/>
    <w:rsid w:val="00B379A7"/>
    <w:rsid w:val="00B5715E"/>
    <w:rsid w:val="00B571A5"/>
    <w:rsid w:val="00B70024"/>
    <w:rsid w:val="00B87735"/>
    <w:rsid w:val="00B9389E"/>
    <w:rsid w:val="00BA1C58"/>
    <w:rsid w:val="00BA4D3C"/>
    <w:rsid w:val="00BB6931"/>
    <w:rsid w:val="00BC4218"/>
    <w:rsid w:val="00BE382E"/>
    <w:rsid w:val="00BF53A7"/>
    <w:rsid w:val="00BF7749"/>
    <w:rsid w:val="00C156E9"/>
    <w:rsid w:val="00C2183D"/>
    <w:rsid w:val="00C30B4C"/>
    <w:rsid w:val="00C317A0"/>
    <w:rsid w:val="00C328EC"/>
    <w:rsid w:val="00C63E2B"/>
    <w:rsid w:val="00CC31AB"/>
    <w:rsid w:val="00CE46D9"/>
    <w:rsid w:val="00CE66B3"/>
    <w:rsid w:val="00D15332"/>
    <w:rsid w:val="00D15754"/>
    <w:rsid w:val="00D3740D"/>
    <w:rsid w:val="00D543CF"/>
    <w:rsid w:val="00D620BC"/>
    <w:rsid w:val="00D8639B"/>
    <w:rsid w:val="00D9259E"/>
    <w:rsid w:val="00D949D8"/>
    <w:rsid w:val="00D96048"/>
    <w:rsid w:val="00D9638A"/>
    <w:rsid w:val="00DA3FDA"/>
    <w:rsid w:val="00DB297C"/>
    <w:rsid w:val="00DB65F8"/>
    <w:rsid w:val="00E44550"/>
    <w:rsid w:val="00E52A83"/>
    <w:rsid w:val="00E65099"/>
    <w:rsid w:val="00E73A35"/>
    <w:rsid w:val="00E82C8C"/>
    <w:rsid w:val="00E82EF3"/>
    <w:rsid w:val="00E91264"/>
    <w:rsid w:val="00EA5138"/>
    <w:rsid w:val="00EB066B"/>
    <w:rsid w:val="00EC08BF"/>
    <w:rsid w:val="00ED1196"/>
    <w:rsid w:val="00ED7CBE"/>
    <w:rsid w:val="00EE168C"/>
    <w:rsid w:val="00EF2252"/>
    <w:rsid w:val="00F26FDA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D74C3"/>
    <w:rsid w:val="00FE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A1C58"/>
    <w:rPr>
      <w:rFonts w:ascii="Arial" w:eastAsia="Calibri" w:hAnsi="Arial" w:cs="Arial"/>
      <w:lang w:eastAsia="ar-SA"/>
    </w:rPr>
  </w:style>
  <w:style w:type="paragraph" w:styleId="aa">
    <w:name w:val="Balloon Text"/>
    <w:basedOn w:val="a"/>
    <w:link w:val="ab"/>
    <w:rsid w:val="00BE3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8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7A8FD-879D-4133-AF78-96B413C0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2017-02-01T07:35:00Z</cp:lastPrinted>
  <dcterms:created xsi:type="dcterms:W3CDTF">2017-01-16T06:15:00Z</dcterms:created>
  <dcterms:modified xsi:type="dcterms:W3CDTF">2017-02-01T07:36:00Z</dcterms:modified>
</cp:coreProperties>
</file>